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kern w:val="0"/>
          <w:sz w:val="32"/>
          <w:szCs w:val="32"/>
        </w:rPr>
      </w:pPr>
      <w:r>
        <w:rPr>
          <w:rFonts w:hint="eastAsia" w:ascii="仿宋" w:hAnsi="仿宋" w:eastAsia="仿宋" w:cs="仿宋"/>
          <w:kern w:val="0"/>
          <w:sz w:val="32"/>
          <w:szCs w:val="32"/>
        </w:rPr>
        <w:t>附件</w:t>
      </w:r>
      <w:r>
        <w:rPr>
          <w:rFonts w:ascii="仿宋" w:hAnsi="仿宋" w:eastAsia="仿宋" w:cs="仿宋"/>
          <w:kern w:val="0"/>
          <w:sz w:val="32"/>
          <w:szCs w:val="32"/>
        </w:rPr>
        <w:t>2</w:t>
      </w:r>
      <w:r>
        <w:rPr>
          <w:rFonts w:hint="eastAsia" w:ascii="仿宋" w:hAnsi="仿宋" w:eastAsia="仿宋" w:cs="仿宋"/>
          <w:kern w:val="0"/>
          <w:sz w:val="32"/>
          <w:szCs w:val="32"/>
        </w:rPr>
        <w:t>：</w:t>
      </w: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方正小标宋_GBK" w:hAnsi="华文中宋" w:eastAsia="方正小标宋_GBK"/>
          <w:b/>
          <w:bCs/>
          <w:kern w:val="0"/>
          <w:sz w:val="48"/>
          <w:szCs w:val="48"/>
        </w:rPr>
      </w:pPr>
      <w:r>
        <w:rPr>
          <w:rFonts w:hint="eastAsia" w:ascii="方正小标宋_GBK" w:hAnsi="华文中宋" w:eastAsia="方正小标宋_GBK" w:cs="方正小标宋_GBK"/>
          <w:b/>
          <w:bCs/>
          <w:kern w:val="0"/>
          <w:sz w:val="48"/>
          <w:szCs w:val="48"/>
        </w:rPr>
        <w:t>且末县排水工程改扩建项目支出绩效自评报告</w:t>
      </w:r>
    </w:p>
    <w:p>
      <w:pPr>
        <w:spacing w:line="540" w:lineRule="exact"/>
        <w:jc w:val="center"/>
        <w:rPr>
          <w:rFonts w:ascii="华文中宋" w:hAnsi="华文中宋" w:eastAsia="华文中宋"/>
          <w:b/>
          <w:bCs/>
          <w:kern w:val="0"/>
          <w:sz w:val="52"/>
          <w:szCs w:val="52"/>
        </w:rPr>
      </w:pPr>
    </w:p>
    <w:p>
      <w:pPr>
        <w:spacing w:line="540" w:lineRule="exact"/>
        <w:jc w:val="center"/>
        <w:rPr>
          <w:rFonts w:hAnsi="宋体" w:eastAsia="仿宋_GB2312"/>
          <w:kern w:val="0"/>
          <w:sz w:val="36"/>
          <w:szCs w:val="36"/>
        </w:rPr>
      </w:pPr>
      <w:r>
        <w:rPr>
          <w:rFonts w:hint="eastAsia" w:hAnsi="宋体" w:eastAsia="仿宋_GB2312" w:cs="仿宋_GB2312"/>
          <w:kern w:val="0"/>
          <w:sz w:val="36"/>
          <w:szCs w:val="36"/>
        </w:rPr>
        <w:t>（</w:t>
      </w:r>
      <w:r>
        <w:rPr>
          <w:rFonts w:hint="eastAsia" w:hAnsi="宋体" w:eastAsia="仿宋_GB2312" w:cs="仿宋_GB2312"/>
          <w:kern w:val="0"/>
          <w:sz w:val="36"/>
          <w:szCs w:val="36"/>
          <w:lang w:val="en-US" w:eastAsia="zh-CN"/>
        </w:rPr>
        <w:t>2018</w:t>
      </w:r>
      <w:r>
        <w:rPr>
          <w:rFonts w:hint="eastAsia" w:hAnsi="宋体" w:eastAsia="仿宋_GB2312" w:cs="仿宋_GB2312"/>
          <w:kern w:val="0"/>
          <w:sz w:val="36"/>
          <w:szCs w:val="36"/>
        </w:rPr>
        <w:t>年度）</w:t>
      </w: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ascii="方正小标宋_GBK" w:hAnsi="宋体" w:eastAsia="方正小标宋_GBK"/>
          <w:kern w:val="0"/>
          <w:sz w:val="36"/>
          <w:szCs w:val="36"/>
        </w:rPr>
      </w:pPr>
      <w:r>
        <w:rPr>
          <w:rFonts w:hint="eastAsia" w:ascii="方正小标宋_GBK" w:hAnsi="宋体" w:eastAsia="方正小标宋_GBK" w:cs="方正小标宋_GBK"/>
          <w:kern w:val="0"/>
          <w:sz w:val="36"/>
          <w:szCs w:val="36"/>
        </w:rPr>
        <w:t>参考模板</w:t>
      </w: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rPr>
          <w:rFonts w:hAnsi="宋体" w:eastAsia="仿宋_GB2312"/>
          <w:kern w:val="0"/>
          <w:sz w:val="30"/>
          <w:szCs w:val="30"/>
        </w:rPr>
      </w:pPr>
    </w:p>
    <w:p>
      <w:pPr>
        <w:spacing w:line="700" w:lineRule="exact"/>
        <w:ind w:firstLine="900" w:firstLineChars="250"/>
        <w:jc w:val="left"/>
        <w:rPr>
          <w:rFonts w:hAnsi="宋体" w:eastAsia="仿宋_GB2312"/>
          <w:kern w:val="0"/>
          <w:sz w:val="36"/>
          <w:szCs w:val="36"/>
        </w:rPr>
      </w:pPr>
      <w:r>
        <w:rPr>
          <w:rFonts w:hint="eastAsia" w:hAnsi="宋体" w:eastAsia="仿宋_GB2312" w:cs="仿宋_GB2312"/>
          <w:kern w:val="0"/>
          <w:sz w:val="36"/>
          <w:szCs w:val="36"/>
        </w:rPr>
        <w:t>项目名称：且末县排水工程改扩建项目</w:t>
      </w:r>
    </w:p>
    <w:p>
      <w:pPr>
        <w:spacing w:line="700" w:lineRule="exact"/>
        <w:ind w:firstLine="900" w:firstLineChars="250"/>
        <w:jc w:val="left"/>
        <w:rPr>
          <w:rFonts w:hAnsi="宋体" w:eastAsia="仿宋_GB2312"/>
          <w:kern w:val="0"/>
          <w:sz w:val="36"/>
          <w:szCs w:val="36"/>
        </w:rPr>
      </w:pPr>
      <w:r>
        <w:rPr>
          <w:rFonts w:hint="eastAsia" w:hAnsi="宋体" w:eastAsia="仿宋_GB2312" w:cs="仿宋_GB2312"/>
          <w:kern w:val="0"/>
          <w:sz w:val="36"/>
          <w:szCs w:val="36"/>
        </w:rPr>
        <w:t>实施单位（公章）：且末县住房和城乡建设局</w:t>
      </w:r>
    </w:p>
    <w:p>
      <w:pPr>
        <w:spacing w:line="700" w:lineRule="exact"/>
        <w:ind w:firstLine="849" w:firstLineChars="236"/>
        <w:jc w:val="left"/>
        <w:rPr>
          <w:rFonts w:hAnsi="宋体" w:eastAsia="仿宋_GB2312"/>
          <w:kern w:val="0"/>
          <w:sz w:val="36"/>
          <w:szCs w:val="36"/>
        </w:rPr>
      </w:pPr>
      <w:r>
        <w:rPr>
          <w:rFonts w:hint="eastAsia" w:hAnsi="宋体" w:eastAsia="仿宋_GB2312" w:cs="仿宋_GB2312"/>
          <w:kern w:val="0"/>
          <w:sz w:val="36"/>
          <w:szCs w:val="36"/>
        </w:rPr>
        <w:t>主管部门（公章）：且末县住房和城乡建设局</w:t>
      </w:r>
    </w:p>
    <w:p>
      <w:pPr>
        <w:spacing w:line="700" w:lineRule="exact"/>
        <w:ind w:firstLine="849" w:firstLineChars="236"/>
        <w:jc w:val="left"/>
        <w:rPr>
          <w:rFonts w:hAnsi="宋体" w:eastAsia="仿宋_GB2312"/>
          <w:kern w:val="0"/>
          <w:sz w:val="36"/>
          <w:szCs w:val="36"/>
        </w:rPr>
      </w:pPr>
      <w:r>
        <w:rPr>
          <w:rFonts w:hint="eastAsia" w:hAnsi="宋体" w:eastAsia="仿宋_GB2312" w:cs="仿宋_GB2312"/>
          <w:kern w:val="0"/>
          <w:sz w:val="36"/>
          <w:szCs w:val="36"/>
        </w:rPr>
        <w:t>项目负责人（签章）：</w:t>
      </w:r>
      <w:r>
        <w:rPr>
          <w:rFonts w:hAnsi="宋体" w:eastAsia="仿宋_GB2312"/>
          <w:kern w:val="0"/>
          <w:sz w:val="36"/>
          <w:szCs w:val="36"/>
        </w:rPr>
        <w:t xml:space="preserve"> </w:t>
      </w:r>
    </w:p>
    <w:p>
      <w:pPr>
        <w:spacing w:line="700" w:lineRule="exact"/>
        <w:ind w:firstLine="849" w:firstLineChars="236"/>
        <w:jc w:val="left"/>
        <w:rPr>
          <w:rFonts w:hAnsi="宋体" w:eastAsia="仿宋_GB2312"/>
          <w:kern w:val="0"/>
          <w:sz w:val="36"/>
          <w:szCs w:val="36"/>
        </w:rPr>
      </w:pPr>
      <w:r>
        <w:rPr>
          <w:rFonts w:hint="eastAsia" w:hAnsi="宋体" w:eastAsia="仿宋_GB2312" w:cs="仿宋_GB2312"/>
          <w:kern w:val="0"/>
          <w:sz w:val="36"/>
          <w:szCs w:val="36"/>
        </w:rPr>
        <w:t>填报时间：</w:t>
      </w:r>
      <w:r>
        <w:rPr>
          <w:rFonts w:hAnsi="宋体" w:eastAsia="仿宋_GB2312"/>
          <w:kern w:val="0"/>
          <w:sz w:val="36"/>
          <w:szCs w:val="36"/>
        </w:rPr>
        <w:t>201</w:t>
      </w:r>
      <w:r>
        <w:rPr>
          <w:rFonts w:hint="eastAsia" w:hAnsi="宋体" w:eastAsia="仿宋_GB2312"/>
          <w:kern w:val="0"/>
          <w:sz w:val="36"/>
          <w:szCs w:val="36"/>
          <w:lang w:val="en-US" w:eastAsia="zh-CN"/>
        </w:rPr>
        <w:t>9</w:t>
      </w:r>
      <w:r>
        <w:rPr>
          <w:rFonts w:hint="eastAsia" w:hAnsi="宋体" w:eastAsia="仿宋_GB2312" w:cs="仿宋_GB2312"/>
          <w:kern w:val="0"/>
          <w:sz w:val="36"/>
          <w:szCs w:val="36"/>
        </w:rPr>
        <w:t>年</w:t>
      </w:r>
      <w:r>
        <w:rPr>
          <w:rFonts w:hAnsi="宋体" w:eastAsia="仿宋_GB2312"/>
          <w:kern w:val="0"/>
          <w:sz w:val="36"/>
          <w:szCs w:val="36"/>
        </w:rPr>
        <w:t>1</w:t>
      </w:r>
      <w:r>
        <w:rPr>
          <w:rFonts w:hint="eastAsia" w:hAnsi="宋体" w:eastAsia="仿宋_GB2312" w:cs="仿宋_GB2312"/>
          <w:kern w:val="0"/>
          <w:sz w:val="36"/>
          <w:szCs w:val="36"/>
        </w:rPr>
        <w:t>月</w:t>
      </w:r>
      <w:r>
        <w:rPr>
          <w:rFonts w:hint="eastAsia" w:hAnsi="宋体" w:eastAsia="仿宋_GB2312"/>
          <w:kern w:val="0"/>
          <w:sz w:val="36"/>
          <w:szCs w:val="36"/>
          <w:lang w:val="en-US" w:eastAsia="zh-CN"/>
        </w:rPr>
        <w:t>31</w:t>
      </w:r>
      <w:r>
        <w:rPr>
          <w:rFonts w:hint="eastAsia" w:hAnsi="宋体" w:eastAsia="仿宋_GB2312" w:cs="仿宋_GB2312"/>
          <w:kern w:val="0"/>
          <w:sz w:val="36"/>
          <w:szCs w:val="36"/>
        </w:rPr>
        <w:t>日</w:t>
      </w:r>
    </w:p>
    <w:p>
      <w:pPr>
        <w:spacing w:line="540" w:lineRule="exact"/>
        <w:jc w:val="center"/>
        <w:rPr>
          <w:rFonts w:hAnsi="宋体" w:eastAsia="仿宋_GB2312"/>
          <w:kern w:val="0"/>
          <w:sz w:val="30"/>
          <w:szCs w:val="30"/>
        </w:rPr>
      </w:pPr>
    </w:p>
    <w:p>
      <w:pPr>
        <w:spacing w:line="540" w:lineRule="exact"/>
        <w:rPr>
          <w:rStyle w:val="17"/>
          <w:rFonts w:ascii="黑体" w:hAnsi="黑体" w:eastAsia="黑体"/>
          <w:b w:val="0"/>
          <w:bCs w:val="0"/>
          <w:spacing w:val="-4"/>
          <w:sz w:val="32"/>
          <w:szCs w:val="32"/>
        </w:rPr>
      </w:pPr>
    </w:p>
    <w:p>
      <w:pPr>
        <w:spacing w:line="54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cs="楷体"/>
          <w:spacing w:val="-4"/>
          <w:sz w:val="32"/>
          <w:szCs w:val="32"/>
        </w:rPr>
        <w:t>（一）项目单位基本情况</w:t>
      </w:r>
    </w:p>
    <w:p>
      <w:pPr>
        <w:ind w:firstLine="800" w:firstLineChars="250"/>
        <w:rPr>
          <w:rFonts w:ascii="仿宋_GB2312" w:hAnsi="仿宋" w:eastAsia="仿宋_GB2312"/>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rPr>
        <w:t>．主要职能</w:t>
      </w:r>
    </w:p>
    <w:p>
      <w:pPr>
        <w:ind w:firstLine="640" w:firstLineChars="200"/>
        <w:rPr>
          <w:rFonts w:ascii="仿宋" w:hAnsi="仿宋" w:eastAsia="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贯彻执行国家、自治区关于建设事业（包括城市规划、村镇规划、工程建设、城市建设、村镇建设、建筑业、住宅和房地产业、勘察设计咨询业、市政公用事业等）的方针、政策和法律、法规，实施全县建设事业的政策、法规以及发展战略和中长期规划，对全县建设事业进行行业管理。</w:t>
      </w:r>
    </w:p>
    <w:p>
      <w:pPr>
        <w:ind w:firstLine="640" w:firstLineChars="200"/>
        <w:rPr>
          <w:rFonts w:ascii="仿宋" w:hAnsi="仿宋" w:eastAsia="仿宋"/>
          <w:sz w:val="32"/>
          <w:szCs w:val="32"/>
        </w:rPr>
      </w:pPr>
      <w:r>
        <w:rPr>
          <w:rFonts w:ascii="仿宋" w:hAnsi="仿宋" w:eastAsia="仿宋" w:cs="仿宋"/>
          <w:sz w:val="32"/>
          <w:szCs w:val="32"/>
        </w:rPr>
        <w:t>(2)</w:t>
      </w:r>
      <w:r>
        <w:rPr>
          <w:rFonts w:hint="eastAsia" w:ascii="仿宋" w:hAnsi="仿宋" w:eastAsia="仿宋" w:cs="仿宋"/>
          <w:sz w:val="32"/>
          <w:szCs w:val="32"/>
        </w:rPr>
        <w:t>、实施全县城市规划、村镇规划、城市勘察和市政工程测量工作；负责城市总体规划、区域城镇体系规划审批工作；参与土地利用总体规划的审查工作；承担对历史文化名城相关的审查报批和保护监督工作；对城市建设档案进行收集评审管理。</w:t>
      </w:r>
    </w:p>
    <w:p>
      <w:pPr>
        <w:ind w:firstLine="640" w:firstLineChars="200"/>
        <w:rPr>
          <w:rFonts w:ascii="仿宋" w:hAnsi="仿宋" w:eastAsia="仿宋"/>
          <w:sz w:val="32"/>
          <w:szCs w:val="32"/>
        </w:rPr>
      </w:pPr>
      <w:r>
        <w:rPr>
          <w:rFonts w:ascii="仿宋" w:hAnsi="仿宋" w:eastAsia="仿宋" w:cs="仿宋"/>
          <w:sz w:val="32"/>
          <w:szCs w:val="32"/>
        </w:rPr>
        <w:t>(3)</w:t>
      </w:r>
      <w:r>
        <w:rPr>
          <w:rFonts w:hint="eastAsia" w:ascii="仿宋" w:hAnsi="仿宋" w:eastAsia="仿宋" w:cs="仿宋"/>
          <w:sz w:val="32"/>
          <w:szCs w:val="32"/>
        </w:rPr>
        <w:t>、贯彻执行国家、自治区关于风景名胜区的方针、政策和法律、法规；组织风景名胜区的资源调查、评价和申报列级工作；负责风景名胜区规划、建设和实施；负责风景名胜区与其他部门、行业的协调工作。</w:t>
      </w:r>
    </w:p>
    <w:p>
      <w:pPr>
        <w:ind w:firstLine="640" w:firstLineChars="200"/>
        <w:rPr>
          <w:rFonts w:ascii="仿宋" w:hAnsi="仿宋" w:eastAsia="仿宋"/>
          <w:sz w:val="32"/>
          <w:szCs w:val="32"/>
        </w:rPr>
      </w:pPr>
      <w:r>
        <w:rPr>
          <w:rFonts w:ascii="仿宋" w:hAnsi="仿宋" w:eastAsia="仿宋" w:cs="仿宋"/>
          <w:sz w:val="32"/>
          <w:szCs w:val="32"/>
        </w:rPr>
        <w:t>(4)</w:t>
      </w:r>
      <w:r>
        <w:rPr>
          <w:rFonts w:hint="eastAsia" w:ascii="仿宋" w:hAnsi="仿宋" w:eastAsia="仿宋" w:cs="仿宋"/>
          <w:sz w:val="32"/>
          <w:szCs w:val="32"/>
        </w:rPr>
        <w:t>、贯彻执行工程建设实施阶段的国家标准，全国统一定额和行业标准；结合工程建设的实施阶段的自治州地方标准、建设工期定额、建设用地指标、经济参数和工程造价管理制度；便于调整和指导我县各类工程建设标准定额的实施。</w:t>
      </w:r>
    </w:p>
    <w:p>
      <w:pPr>
        <w:ind w:firstLine="640" w:firstLineChars="200"/>
        <w:rPr>
          <w:rFonts w:ascii="仿宋" w:hAnsi="仿宋" w:eastAsia="仿宋"/>
          <w:sz w:val="32"/>
          <w:szCs w:val="32"/>
        </w:rPr>
      </w:pPr>
      <w:r>
        <w:rPr>
          <w:rFonts w:ascii="仿宋" w:hAnsi="仿宋" w:eastAsia="仿宋" w:cs="仿宋"/>
          <w:sz w:val="32"/>
          <w:szCs w:val="32"/>
        </w:rPr>
        <w:t>(5)</w:t>
      </w:r>
      <w:r>
        <w:rPr>
          <w:rFonts w:hint="eastAsia" w:ascii="仿宋" w:hAnsi="仿宋" w:eastAsia="仿宋" w:cs="仿宋"/>
          <w:sz w:val="32"/>
          <w:szCs w:val="32"/>
        </w:rPr>
        <w:t>、贯彻实施建筑业管理工作，培育和规范建筑市场；执行监督建筑市场准入制；管理工程招投标、工程监理、工程质量和施工安全；组织实施勘察、设计、施工、监理、工程质量安全监督和相关中介服务管理的办法。</w:t>
      </w:r>
    </w:p>
    <w:p>
      <w:pPr>
        <w:ind w:firstLine="640" w:firstLineChars="200"/>
        <w:rPr>
          <w:rFonts w:ascii="仿宋" w:hAnsi="仿宋" w:eastAsia="仿宋"/>
          <w:sz w:val="32"/>
          <w:szCs w:val="32"/>
        </w:rPr>
      </w:pPr>
      <w:r>
        <w:rPr>
          <w:rFonts w:ascii="仿宋" w:hAnsi="仿宋" w:eastAsia="仿宋" w:cs="仿宋"/>
          <w:sz w:val="32"/>
          <w:szCs w:val="32"/>
        </w:rPr>
        <w:t>(6)</w:t>
      </w:r>
      <w:r>
        <w:rPr>
          <w:rFonts w:hint="eastAsia" w:ascii="仿宋" w:hAnsi="仿宋" w:eastAsia="仿宋" w:cs="仿宋"/>
          <w:sz w:val="32"/>
          <w:szCs w:val="32"/>
        </w:rPr>
        <w:t>、指导全县县城和村镇建设，负责县城内的供排水、节水、燃气、热力、市政设施、城市园林绿化、市容环卫等行业管理；指导县城规划区内地下水的开发利用和保护；指导县城市容环境治理和城建监察工作。</w:t>
      </w:r>
    </w:p>
    <w:p>
      <w:pPr>
        <w:ind w:firstLine="640" w:firstLineChars="200"/>
        <w:rPr>
          <w:rFonts w:ascii="仿宋" w:hAnsi="仿宋" w:eastAsia="仿宋"/>
          <w:sz w:val="32"/>
          <w:szCs w:val="32"/>
        </w:rPr>
      </w:pPr>
      <w:r>
        <w:rPr>
          <w:rFonts w:ascii="仿宋" w:hAnsi="仿宋" w:eastAsia="仿宋" w:cs="仿宋"/>
          <w:sz w:val="32"/>
          <w:szCs w:val="32"/>
        </w:rPr>
        <w:t>(7)</w:t>
      </w:r>
      <w:r>
        <w:rPr>
          <w:rFonts w:hint="eastAsia" w:ascii="仿宋" w:hAnsi="仿宋" w:eastAsia="仿宋" w:cs="仿宋"/>
          <w:sz w:val="32"/>
          <w:szCs w:val="32"/>
        </w:rPr>
        <w:t>、指导全县住宅建设和城镇住房制度改革工作；负责全县住宅和房地产业的行业管理，协调有关部门指导城镇土地使用权有偿转让和开发利用工作；指导和规范房地产市场。</w:t>
      </w:r>
    </w:p>
    <w:p>
      <w:pPr>
        <w:ind w:firstLine="640" w:firstLineChars="200"/>
        <w:rPr>
          <w:rFonts w:ascii="仿宋" w:hAnsi="仿宋" w:eastAsia="仿宋"/>
          <w:sz w:val="32"/>
          <w:szCs w:val="32"/>
        </w:rPr>
      </w:pPr>
      <w:r>
        <w:rPr>
          <w:rFonts w:ascii="仿宋" w:hAnsi="仿宋" w:eastAsia="仿宋" w:cs="仿宋"/>
          <w:sz w:val="32"/>
          <w:szCs w:val="32"/>
        </w:rPr>
        <w:t>(8)</w:t>
      </w:r>
      <w:r>
        <w:rPr>
          <w:rFonts w:hint="eastAsia" w:ascii="仿宋" w:hAnsi="仿宋" w:eastAsia="仿宋" w:cs="仿宋"/>
          <w:sz w:val="32"/>
          <w:szCs w:val="32"/>
        </w:rPr>
        <w:t>、贯彻实施各类房屋建筑及其附属设施和城市市政工程的抗震设计规范；指导县城地下空间的开发和利用。</w:t>
      </w:r>
    </w:p>
    <w:p>
      <w:pPr>
        <w:ind w:firstLine="640" w:firstLineChars="200"/>
        <w:rPr>
          <w:rFonts w:ascii="仿宋" w:hAnsi="仿宋" w:eastAsia="仿宋"/>
          <w:sz w:val="32"/>
          <w:szCs w:val="32"/>
        </w:rPr>
      </w:pPr>
      <w:r>
        <w:rPr>
          <w:rFonts w:ascii="仿宋" w:hAnsi="仿宋" w:eastAsia="仿宋" w:cs="仿宋"/>
          <w:sz w:val="32"/>
          <w:szCs w:val="32"/>
        </w:rPr>
        <w:t>(9)</w:t>
      </w:r>
      <w:r>
        <w:rPr>
          <w:rFonts w:hint="eastAsia" w:ascii="仿宋" w:hAnsi="仿宋" w:eastAsia="仿宋" w:cs="仿宋"/>
          <w:sz w:val="32"/>
          <w:szCs w:val="32"/>
        </w:rPr>
        <w:t>、拟定我县建设行业科技发展规划、计划和技术经济措施；组织和执行建设行业重大科技项目攻关合作交流，技术创新与成果推广应用工作。</w:t>
      </w:r>
    </w:p>
    <w:p>
      <w:pPr>
        <w:ind w:firstLine="640" w:firstLineChars="200"/>
        <w:rPr>
          <w:rFonts w:ascii="仿宋" w:hAnsi="仿宋" w:eastAsia="仿宋"/>
          <w:sz w:val="32"/>
          <w:szCs w:val="32"/>
        </w:rPr>
      </w:pPr>
      <w:r>
        <w:rPr>
          <w:rFonts w:ascii="仿宋" w:hAnsi="仿宋" w:eastAsia="仿宋" w:cs="仿宋"/>
          <w:sz w:val="32"/>
          <w:szCs w:val="32"/>
        </w:rPr>
        <w:t>(10)</w:t>
      </w:r>
      <w:r>
        <w:rPr>
          <w:rFonts w:hint="eastAsia" w:ascii="仿宋" w:hAnsi="仿宋" w:eastAsia="仿宋" w:cs="仿宋"/>
          <w:sz w:val="32"/>
          <w:szCs w:val="32"/>
        </w:rPr>
        <w:t>、协调和指导建设行业和职工培训和继续教育工作。</w:t>
      </w:r>
    </w:p>
    <w:p>
      <w:pPr>
        <w:ind w:firstLine="640" w:firstLineChars="200"/>
        <w:rPr>
          <w:rFonts w:ascii="仿宋" w:hAnsi="仿宋" w:eastAsia="仿宋"/>
          <w:sz w:val="32"/>
          <w:szCs w:val="32"/>
        </w:rPr>
      </w:pPr>
      <w:r>
        <w:rPr>
          <w:rFonts w:ascii="仿宋" w:hAnsi="仿宋" w:eastAsia="仿宋" w:cs="仿宋"/>
          <w:sz w:val="32"/>
          <w:szCs w:val="32"/>
        </w:rPr>
        <w:t>(11)</w:t>
      </w:r>
      <w:r>
        <w:rPr>
          <w:rFonts w:hint="eastAsia" w:ascii="仿宋" w:hAnsi="仿宋" w:eastAsia="仿宋" w:cs="仿宋"/>
          <w:sz w:val="32"/>
          <w:szCs w:val="32"/>
        </w:rPr>
        <w:t>、负责组织执行我县开展建设行业的对外经济技术合作；引导县内企业开拓国内国际建筑市场和房地产市场，指导协调建筑企业对外工程承包和建筑劳务合作。</w:t>
      </w:r>
    </w:p>
    <w:p>
      <w:pPr>
        <w:ind w:firstLine="640" w:firstLineChars="200"/>
        <w:rPr>
          <w:rFonts w:ascii="仿宋" w:hAnsi="仿宋" w:eastAsia="仿宋"/>
          <w:sz w:val="32"/>
          <w:szCs w:val="32"/>
        </w:rPr>
      </w:pPr>
      <w:r>
        <w:rPr>
          <w:rFonts w:ascii="仿宋" w:hAnsi="仿宋" w:eastAsia="仿宋" w:cs="仿宋"/>
          <w:sz w:val="32"/>
          <w:szCs w:val="32"/>
        </w:rPr>
        <w:t>(12)</w:t>
      </w:r>
      <w:r>
        <w:rPr>
          <w:rFonts w:hint="eastAsia" w:ascii="仿宋" w:hAnsi="仿宋" w:eastAsia="仿宋" w:cs="仿宋"/>
          <w:sz w:val="32"/>
          <w:szCs w:val="32"/>
        </w:rPr>
        <w:t>、承办县人民政府交办的其他工作。</w:t>
      </w:r>
    </w:p>
    <w:p>
      <w:pPr>
        <w:ind w:firstLine="640" w:firstLineChars="200"/>
        <w:rPr>
          <w:rFonts w:ascii="仿宋" w:hAnsi="仿宋" w:eastAsia="仿宋"/>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．机构情况：</w:t>
      </w:r>
      <w:r>
        <w:rPr>
          <w:rFonts w:hint="eastAsia" w:ascii="仿宋" w:hAnsi="仿宋" w:eastAsia="仿宋" w:cs="仿宋"/>
          <w:sz w:val="32"/>
          <w:szCs w:val="32"/>
        </w:rPr>
        <w:t>人员情况：本单位属行政机关单位，核定编制数为</w:t>
      </w:r>
      <w:r>
        <w:rPr>
          <w:rFonts w:ascii="仿宋" w:hAnsi="仿宋" w:eastAsia="仿宋" w:cs="仿宋"/>
          <w:sz w:val="32"/>
          <w:szCs w:val="32"/>
        </w:rPr>
        <w:t>30</w:t>
      </w:r>
      <w:r>
        <w:rPr>
          <w:rFonts w:hint="eastAsia" w:ascii="仿宋" w:hAnsi="仿宋" w:eastAsia="仿宋" w:cs="仿宋"/>
          <w:sz w:val="32"/>
          <w:szCs w:val="32"/>
        </w:rPr>
        <w:t>人，其中：行政编制</w:t>
      </w:r>
      <w:r>
        <w:rPr>
          <w:rFonts w:ascii="仿宋" w:hAnsi="仿宋" w:eastAsia="仿宋" w:cs="仿宋"/>
          <w:sz w:val="32"/>
          <w:szCs w:val="32"/>
        </w:rPr>
        <w:t>7</w:t>
      </w:r>
      <w:r>
        <w:rPr>
          <w:rFonts w:hint="eastAsia" w:ascii="仿宋" w:hAnsi="仿宋" w:eastAsia="仿宋" w:cs="仿宋"/>
          <w:sz w:val="32"/>
          <w:szCs w:val="32"/>
        </w:rPr>
        <w:t>人、事业编制</w:t>
      </w:r>
      <w:r>
        <w:rPr>
          <w:rFonts w:ascii="仿宋" w:hAnsi="仿宋" w:eastAsia="仿宋" w:cs="仿宋"/>
          <w:sz w:val="32"/>
          <w:szCs w:val="32"/>
        </w:rPr>
        <w:t>23</w:t>
      </w:r>
      <w:r>
        <w:rPr>
          <w:rFonts w:hint="eastAsia" w:ascii="仿宋" w:hAnsi="仿宋" w:eastAsia="仿宋" w:cs="仿宋"/>
          <w:sz w:val="32"/>
          <w:szCs w:val="32"/>
        </w:rPr>
        <w:t>人其中：参公编制</w:t>
      </w:r>
      <w:r>
        <w:rPr>
          <w:rFonts w:ascii="仿宋" w:hAnsi="仿宋" w:eastAsia="仿宋" w:cs="仿宋"/>
          <w:sz w:val="32"/>
          <w:szCs w:val="32"/>
        </w:rPr>
        <w:t>14</w:t>
      </w:r>
      <w:r>
        <w:rPr>
          <w:rFonts w:hint="eastAsia" w:ascii="仿宋" w:hAnsi="仿宋" w:eastAsia="仿宋" w:cs="仿宋"/>
          <w:sz w:val="32"/>
          <w:szCs w:val="32"/>
        </w:rPr>
        <w:t>人，事业编</w:t>
      </w:r>
      <w:r>
        <w:rPr>
          <w:rFonts w:ascii="仿宋" w:hAnsi="仿宋" w:eastAsia="仿宋" w:cs="仿宋"/>
          <w:sz w:val="32"/>
          <w:szCs w:val="32"/>
        </w:rPr>
        <w:t>9</w:t>
      </w:r>
      <w:r>
        <w:rPr>
          <w:rFonts w:hint="eastAsia" w:ascii="仿宋" w:hAnsi="仿宋" w:eastAsia="仿宋" w:cs="仿宋"/>
          <w:sz w:val="32"/>
          <w:szCs w:val="32"/>
        </w:rPr>
        <w:t>人；现有实有人员</w:t>
      </w:r>
      <w:r>
        <w:rPr>
          <w:rFonts w:ascii="仿宋" w:hAnsi="仿宋" w:eastAsia="仿宋" w:cs="仿宋"/>
          <w:sz w:val="32"/>
          <w:szCs w:val="32"/>
        </w:rPr>
        <w:t>29</w:t>
      </w:r>
      <w:r>
        <w:rPr>
          <w:rFonts w:hint="eastAsia" w:ascii="仿宋" w:hAnsi="仿宋" w:eastAsia="仿宋" w:cs="仿宋"/>
          <w:sz w:val="32"/>
          <w:szCs w:val="32"/>
        </w:rPr>
        <w:t>人，其中：在职人员</w:t>
      </w:r>
      <w:r>
        <w:rPr>
          <w:rFonts w:ascii="仿宋" w:hAnsi="仿宋" w:eastAsia="仿宋" w:cs="仿宋"/>
          <w:sz w:val="32"/>
          <w:szCs w:val="32"/>
        </w:rPr>
        <w:t>27</w:t>
      </w:r>
      <w:r>
        <w:rPr>
          <w:rFonts w:hint="eastAsia" w:ascii="仿宋" w:hAnsi="仿宋" w:eastAsia="仿宋" w:cs="仿宋"/>
          <w:sz w:val="32"/>
          <w:szCs w:val="32"/>
        </w:rPr>
        <w:t>人，其他人员</w:t>
      </w:r>
      <w:r>
        <w:rPr>
          <w:rFonts w:ascii="仿宋" w:hAnsi="仿宋" w:eastAsia="仿宋" w:cs="仿宋"/>
          <w:sz w:val="32"/>
          <w:szCs w:val="32"/>
        </w:rPr>
        <w:t>2</w:t>
      </w:r>
      <w:r>
        <w:rPr>
          <w:rFonts w:hint="eastAsia" w:ascii="仿宋" w:hAnsi="仿宋" w:eastAsia="仿宋" w:cs="仿宋"/>
          <w:sz w:val="32"/>
          <w:szCs w:val="32"/>
        </w:rPr>
        <w:t>人。在职实有人员比上年度人减少</w:t>
      </w:r>
      <w:r>
        <w:rPr>
          <w:rFonts w:ascii="仿宋" w:hAnsi="仿宋" w:eastAsia="仿宋" w:cs="仿宋"/>
          <w:sz w:val="32"/>
          <w:szCs w:val="32"/>
        </w:rPr>
        <w:t>3</w:t>
      </w:r>
      <w:r>
        <w:rPr>
          <w:rFonts w:hint="eastAsia" w:ascii="仿宋" w:hAnsi="仿宋" w:eastAsia="仿宋" w:cs="仿宋"/>
          <w:sz w:val="32"/>
          <w:szCs w:val="32"/>
        </w:rPr>
        <w:t>人，减少原因是人员调离。</w:t>
      </w:r>
    </w:p>
    <w:p>
      <w:pPr>
        <w:ind w:firstLine="640" w:firstLineChars="200"/>
        <w:rPr>
          <w:rStyle w:val="17"/>
          <w:rFonts w:ascii="仿宋" w:hAnsi="仿宋" w:eastAsia="仿宋"/>
          <w:b w:val="0"/>
          <w:bCs w:val="0"/>
          <w:sz w:val="32"/>
          <w:szCs w:val="32"/>
        </w:rPr>
      </w:pPr>
      <w:r>
        <w:rPr>
          <w:rFonts w:hint="eastAsia" w:ascii="仿宋" w:hAnsi="仿宋" w:eastAsia="仿宋" w:cs="仿宋"/>
          <w:sz w:val="32"/>
          <w:szCs w:val="32"/>
        </w:rPr>
        <w:t>且末县住房和城乡建设局无下属预算单位，下设</w:t>
      </w:r>
      <w:r>
        <w:rPr>
          <w:rFonts w:ascii="仿宋" w:hAnsi="仿宋" w:eastAsia="仿宋" w:cs="仿宋"/>
          <w:sz w:val="32"/>
          <w:szCs w:val="32"/>
        </w:rPr>
        <w:t xml:space="preserve"> 3</w:t>
      </w:r>
      <w:r>
        <w:rPr>
          <w:rFonts w:hint="eastAsia" w:ascii="仿宋" w:hAnsi="仿宋" w:eastAsia="仿宋" w:cs="仿宋"/>
          <w:sz w:val="32"/>
          <w:szCs w:val="32"/>
        </w:rPr>
        <w:t>个科室，分别是：城管监察大队，抗震防灾领导小组办公室，建设工程质量监督站。</w:t>
      </w:r>
      <w:r>
        <w:rPr>
          <w:rFonts w:ascii="仿宋" w:hAnsi="仿宋" w:eastAsia="仿宋" w:cs="仿宋"/>
          <w:sz w:val="32"/>
          <w:szCs w:val="32"/>
        </w:rPr>
        <w:t xml:space="preserve"> </w:t>
      </w:r>
    </w:p>
    <w:p>
      <w:pPr>
        <w:spacing w:line="540" w:lineRule="exact"/>
        <w:ind w:firstLine="567"/>
        <w:rPr>
          <w:rStyle w:val="17"/>
          <w:rFonts w:ascii="仿宋" w:hAnsi="仿宋" w:eastAsia="仿宋"/>
          <w:b w:val="0"/>
          <w:bCs w:val="0"/>
          <w:spacing w:val="-4"/>
          <w:sz w:val="32"/>
          <w:szCs w:val="32"/>
        </w:rPr>
      </w:pP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cs="楷体"/>
          <w:spacing w:val="-4"/>
          <w:sz w:val="32"/>
          <w:szCs w:val="32"/>
        </w:rPr>
        <w:t>（二）项目预算绩效目标设定情况</w:t>
      </w:r>
    </w:p>
    <w:p>
      <w:pPr>
        <w:spacing w:line="540" w:lineRule="exact"/>
        <w:ind w:firstLine="564" w:firstLineChars="181"/>
        <w:rPr>
          <w:rStyle w:val="17"/>
          <w:rFonts w:ascii="仿宋" w:hAnsi="仿宋" w:eastAsia="仿宋"/>
          <w:b w:val="0"/>
          <w:bCs w:val="0"/>
          <w:spacing w:val="-4"/>
          <w:sz w:val="32"/>
          <w:szCs w:val="32"/>
        </w:rPr>
      </w:pPr>
      <w:r>
        <w:rPr>
          <w:rStyle w:val="17"/>
          <w:rFonts w:hint="eastAsia" w:ascii="仿宋" w:hAnsi="仿宋" w:eastAsia="仿宋" w:cs="仿宋"/>
          <w:b w:val="0"/>
          <w:bCs w:val="0"/>
          <w:spacing w:val="-4"/>
          <w:sz w:val="32"/>
          <w:szCs w:val="32"/>
        </w:rPr>
        <w:t>改造排水管道总长</w:t>
      </w:r>
      <w:r>
        <w:rPr>
          <w:rStyle w:val="17"/>
          <w:rFonts w:ascii="仿宋" w:hAnsi="仿宋" w:eastAsia="仿宋" w:cs="仿宋"/>
          <w:b w:val="0"/>
          <w:bCs w:val="0"/>
          <w:spacing w:val="-4"/>
          <w:sz w:val="32"/>
          <w:szCs w:val="32"/>
        </w:rPr>
        <w:t>6002</w:t>
      </w:r>
      <w:r>
        <w:rPr>
          <w:rStyle w:val="17"/>
          <w:rFonts w:hint="eastAsia" w:ascii="仿宋" w:hAnsi="仿宋" w:eastAsia="仿宋" w:cs="仿宋"/>
          <w:b w:val="0"/>
          <w:bCs w:val="0"/>
          <w:spacing w:val="-4"/>
          <w:sz w:val="32"/>
          <w:szCs w:val="32"/>
        </w:rPr>
        <w:t>米。建设年限为</w:t>
      </w:r>
      <w:r>
        <w:rPr>
          <w:rStyle w:val="17"/>
          <w:rFonts w:ascii="仿宋" w:hAnsi="仿宋" w:eastAsia="仿宋" w:cs="仿宋"/>
          <w:b w:val="0"/>
          <w:bCs w:val="0"/>
          <w:spacing w:val="-4"/>
          <w:sz w:val="32"/>
          <w:szCs w:val="32"/>
        </w:rPr>
        <w:t>2017</w:t>
      </w:r>
      <w:r>
        <w:rPr>
          <w:rStyle w:val="17"/>
          <w:rFonts w:hint="eastAsia" w:ascii="仿宋" w:hAnsi="仿宋" w:eastAsia="仿宋" w:cs="仿宋"/>
          <w:b w:val="0"/>
          <w:bCs w:val="0"/>
          <w:spacing w:val="-4"/>
          <w:sz w:val="32"/>
          <w:szCs w:val="32"/>
        </w:rPr>
        <w:t>年</w:t>
      </w:r>
      <w:r>
        <w:rPr>
          <w:rStyle w:val="17"/>
          <w:rFonts w:ascii="仿宋" w:hAnsi="仿宋" w:eastAsia="仿宋" w:cs="仿宋"/>
          <w:b w:val="0"/>
          <w:bCs w:val="0"/>
          <w:spacing w:val="-4"/>
          <w:sz w:val="32"/>
          <w:szCs w:val="32"/>
        </w:rPr>
        <w:t>-2018</w:t>
      </w:r>
      <w:r>
        <w:rPr>
          <w:rStyle w:val="17"/>
          <w:rFonts w:hint="eastAsia" w:ascii="仿宋" w:hAnsi="仿宋" w:eastAsia="仿宋" w:cs="仿宋"/>
          <w:b w:val="0"/>
          <w:bCs w:val="0"/>
          <w:spacing w:val="-4"/>
          <w:sz w:val="32"/>
          <w:szCs w:val="32"/>
        </w:rPr>
        <w:t>年，项目总投资</w:t>
      </w:r>
      <w:r>
        <w:rPr>
          <w:rStyle w:val="17"/>
          <w:rFonts w:hint="eastAsia" w:ascii="仿宋" w:hAnsi="仿宋" w:eastAsia="仿宋" w:cs="仿宋"/>
          <w:b w:val="0"/>
          <w:bCs w:val="0"/>
          <w:spacing w:val="-4"/>
          <w:sz w:val="32"/>
          <w:szCs w:val="32"/>
          <w:lang w:val="en-US" w:eastAsia="zh-CN"/>
        </w:rPr>
        <w:t>215</w:t>
      </w:r>
      <w:r>
        <w:rPr>
          <w:rStyle w:val="17"/>
          <w:rFonts w:hint="eastAsia" w:ascii="仿宋" w:hAnsi="仿宋" w:eastAsia="仿宋" w:cs="仿宋"/>
          <w:b w:val="0"/>
          <w:bCs w:val="0"/>
          <w:spacing w:val="-4"/>
          <w:sz w:val="32"/>
          <w:szCs w:val="32"/>
        </w:rPr>
        <w:t>万元。</w:t>
      </w:r>
    </w:p>
    <w:p>
      <w:pPr>
        <w:spacing w:line="54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cs="楷体"/>
          <w:spacing w:val="-4"/>
          <w:sz w:val="32"/>
          <w:szCs w:val="32"/>
        </w:rPr>
        <w:t>（一）项目资金安排落实、总投入等情况分析</w:t>
      </w:r>
    </w:p>
    <w:p>
      <w:pPr>
        <w:spacing w:line="540" w:lineRule="exact"/>
        <w:ind w:firstLine="624" w:firstLineChars="200"/>
        <w:rPr>
          <w:rStyle w:val="17"/>
          <w:rFonts w:ascii="仿宋" w:hAnsi="仿宋" w:eastAsia="仿宋"/>
          <w:b w:val="0"/>
          <w:bCs w:val="0"/>
          <w:spacing w:val="-4"/>
          <w:sz w:val="32"/>
          <w:szCs w:val="32"/>
        </w:rPr>
      </w:pPr>
      <w:r>
        <w:rPr>
          <w:rStyle w:val="17"/>
          <w:rFonts w:hint="eastAsia" w:ascii="仿宋" w:hAnsi="仿宋" w:eastAsia="仿宋" w:cs="仿宋"/>
          <w:b w:val="0"/>
          <w:bCs w:val="0"/>
          <w:spacing w:val="-4"/>
          <w:sz w:val="32"/>
          <w:szCs w:val="32"/>
        </w:rPr>
        <w:t>项目总投资</w:t>
      </w:r>
      <w:r>
        <w:rPr>
          <w:rStyle w:val="17"/>
          <w:rFonts w:hint="eastAsia" w:ascii="仿宋" w:hAnsi="仿宋" w:eastAsia="仿宋" w:cs="仿宋"/>
          <w:b w:val="0"/>
          <w:bCs w:val="0"/>
          <w:spacing w:val="-4"/>
          <w:sz w:val="32"/>
          <w:szCs w:val="32"/>
          <w:lang w:val="en-US" w:eastAsia="zh-CN"/>
        </w:rPr>
        <w:t>215</w:t>
      </w:r>
      <w:r>
        <w:rPr>
          <w:rStyle w:val="17"/>
          <w:rFonts w:hint="eastAsia" w:ascii="仿宋" w:hAnsi="仿宋" w:eastAsia="仿宋" w:cs="仿宋"/>
          <w:b w:val="0"/>
          <w:bCs w:val="0"/>
          <w:spacing w:val="-4"/>
          <w:sz w:val="32"/>
          <w:szCs w:val="32"/>
        </w:rPr>
        <w:t>万元，</w:t>
      </w:r>
      <w:r>
        <w:rPr>
          <w:rStyle w:val="17"/>
          <w:rFonts w:hint="eastAsia" w:ascii="仿宋" w:hAnsi="仿宋" w:eastAsia="仿宋" w:cs="仿宋"/>
          <w:b w:val="0"/>
          <w:bCs w:val="0"/>
          <w:spacing w:val="-4"/>
          <w:sz w:val="32"/>
          <w:szCs w:val="32"/>
          <w:lang w:eastAsia="zh-CN"/>
        </w:rPr>
        <w:t>资金来源为县级项目支出。</w:t>
      </w:r>
      <w:r>
        <w:rPr>
          <w:rStyle w:val="17"/>
          <w:rFonts w:hint="eastAsia" w:ascii="仿宋" w:hAnsi="仿宋" w:eastAsia="仿宋" w:cs="仿宋"/>
          <w:b w:val="0"/>
          <w:bCs w:val="0"/>
          <w:spacing w:val="-4"/>
          <w:sz w:val="32"/>
          <w:szCs w:val="32"/>
        </w:rPr>
        <w:t>项目资金全部用于项目建设</w:t>
      </w:r>
      <w:r>
        <w:rPr>
          <w:rStyle w:val="17"/>
          <w:rFonts w:hint="eastAsia" w:ascii="仿宋" w:hAnsi="仿宋" w:eastAsia="仿宋" w:cs="仿宋"/>
          <w:b w:val="0"/>
          <w:bCs w:val="0"/>
          <w:spacing w:val="-4"/>
          <w:sz w:val="32"/>
          <w:szCs w:val="32"/>
          <w:lang w:eastAsia="zh-CN"/>
        </w:rPr>
        <w:t>设备采购和运行经费。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cs="楷体"/>
          <w:spacing w:val="-4"/>
          <w:sz w:val="32"/>
          <w:szCs w:val="32"/>
        </w:rPr>
        <w:t>（二）项目资金实际使用情况分析</w:t>
      </w:r>
    </w:p>
    <w:p>
      <w:pPr>
        <w:spacing w:line="540" w:lineRule="exact"/>
        <w:ind w:firstLine="564" w:firstLineChars="181"/>
        <w:rPr>
          <w:rStyle w:val="17"/>
          <w:rFonts w:ascii="仿宋" w:hAnsi="仿宋" w:eastAsia="仿宋"/>
          <w:b w:val="0"/>
          <w:bCs w:val="0"/>
          <w:spacing w:val="-4"/>
          <w:sz w:val="32"/>
          <w:szCs w:val="32"/>
        </w:rPr>
      </w:pPr>
      <w:r>
        <w:rPr>
          <w:rStyle w:val="17"/>
          <w:rFonts w:ascii="仿宋" w:hAnsi="仿宋" w:eastAsia="仿宋" w:cs="仿宋"/>
          <w:b w:val="0"/>
          <w:bCs w:val="0"/>
          <w:spacing w:val="-4"/>
          <w:sz w:val="32"/>
          <w:szCs w:val="32"/>
        </w:rPr>
        <w:t xml:space="preserve"> </w:t>
      </w:r>
      <w:r>
        <w:rPr>
          <w:rStyle w:val="17"/>
          <w:rFonts w:hint="eastAsia" w:ascii="仿宋" w:hAnsi="仿宋" w:eastAsia="仿宋" w:cs="仿宋"/>
          <w:b w:val="0"/>
          <w:bCs w:val="0"/>
          <w:spacing w:val="-4"/>
          <w:sz w:val="32"/>
          <w:szCs w:val="32"/>
        </w:rPr>
        <w:t>已交付</w:t>
      </w:r>
      <w:r>
        <w:rPr>
          <w:rStyle w:val="17"/>
          <w:rFonts w:hint="eastAsia" w:ascii="仿宋" w:hAnsi="仿宋" w:eastAsia="仿宋" w:cs="仿宋"/>
          <w:b w:val="0"/>
          <w:bCs w:val="0"/>
          <w:spacing w:val="-4"/>
          <w:sz w:val="32"/>
          <w:szCs w:val="32"/>
          <w:lang w:val="en-US" w:eastAsia="zh-CN"/>
        </w:rPr>
        <w:t>215</w:t>
      </w:r>
      <w:bookmarkStart w:id="0" w:name="_GoBack"/>
      <w:bookmarkEnd w:id="0"/>
      <w:r>
        <w:rPr>
          <w:rStyle w:val="17"/>
          <w:rFonts w:hint="eastAsia" w:ascii="仿宋" w:hAnsi="仿宋" w:eastAsia="仿宋" w:cs="仿宋"/>
          <w:b w:val="0"/>
          <w:bCs w:val="0"/>
          <w:spacing w:val="-4"/>
          <w:sz w:val="32"/>
          <w:szCs w:val="32"/>
        </w:rPr>
        <w:t>万元整</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cs="楷体"/>
          <w:spacing w:val="-4"/>
          <w:sz w:val="32"/>
          <w:szCs w:val="32"/>
        </w:rPr>
        <w:t>（三）项目资金管理情况分析</w:t>
      </w:r>
    </w:p>
    <w:p>
      <w:pPr>
        <w:spacing w:line="540" w:lineRule="exact"/>
        <w:ind w:firstLine="624" w:firstLineChars="200"/>
        <w:rPr>
          <w:rStyle w:val="17"/>
          <w:rFonts w:ascii="仿宋" w:hAnsi="仿宋" w:eastAsia="仿宋"/>
          <w:b w:val="0"/>
          <w:bCs w:val="0"/>
          <w:spacing w:val="-4"/>
          <w:sz w:val="32"/>
          <w:szCs w:val="32"/>
        </w:rPr>
      </w:pPr>
      <w:r>
        <w:rPr>
          <w:rStyle w:val="17"/>
          <w:rFonts w:hint="eastAsia" w:ascii="仿宋" w:hAnsi="仿宋" w:eastAsia="仿宋" w:cs="仿宋"/>
          <w:b w:val="0"/>
          <w:bCs w:val="0"/>
          <w:spacing w:val="-4"/>
          <w:sz w:val="32"/>
          <w:szCs w:val="32"/>
        </w:rPr>
        <w:t>资金已支付施工单位用于工程建设</w:t>
      </w:r>
    </w:p>
    <w:p>
      <w:pPr>
        <w:spacing w:line="54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cs="楷体"/>
          <w:spacing w:val="-4"/>
          <w:sz w:val="32"/>
          <w:szCs w:val="32"/>
        </w:rPr>
        <w:t>（一）项目组织情况分析</w:t>
      </w:r>
    </w:p>
    <w:p>
      <w:pPr>
        <w:spacing w:line="540" w:lineRule="exact"/>
        <w:ind w:firstLine="624" w:firstLineChars="200"/>
        <w:rPr>
          <w:rStyle w:val="17"/>
          <w:rFonts w:ascii="仿宋" w:hAnsi="仿宋" w:eastAsia="仿宋"/>
          <w:b w:val="0"/>
          <w:bCs w:val="0"/>
          <w:spacing w:val="-4"/>
          <w:sz w:val="32"/>
          <w:szCs w:val="32"/>
        </w:rPr>
      </w:pPr>
      <w:r>
        <w:rPr>
          <w:rStyle w:val="17"/>
          <w:rFonts w:hint="eastAsia" w:ascii="仿宋" w:hAnsi="仿宋" w:eastAsia="仿宋" w:cs="仿宋"/>
          <w:b w:val="0"/>
          <w:bCs w:val="0"/>
          <w:spacing w:val="-4"/>
          <w:sz w:val="32"/>
          <w:szCs w:val="32"/>
        </w:rPr>
        <w:t>项目通过可行性研究报告、环境影响评价分析、初步设计、施工图设计、招投标后，进行项目建设，项目建设敷设法定程序要求改造排水管道总长</w:t>
      </w:r>
      <w:r>
        <w:rPr>
          <w:rStyle w:val="17"/>
          <w:rFonts w:ascii="仿宋" w:hAnsi="仿宋" w:eastAsia="仿宋" w:cs="仿宋"/>
          <w:b w:val="0"/>
          <w:bCs w:val="0"/>
          <w:spacing w:val="-4"/>
          <w:sz w:val="32"/>
          <w:szCs w:val="32"/>
        </w:rPr>
        <w:t>6002</w:t>
      </w:r>
      <w:r>
        <w:rPr>
          <w:rStyle w:val="17"/>
          <w:rFonts w:hint="eastAsia" w:ascii="仿宋" w:hAnsi="仿宋" w:eastAsia="仿宋" w:cs="仿宋"/>
          <w:b w:val="0"/>
          <w:bCs w:val="0"/>
          <w:spacing w:val="-4"/>
          <w:sz w:val="32"/>
          <w:szCs w:val="32"/>
        </w:rPr>
        <w:t>米。</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cs="楷体"/>
          <w:spacing w:val="-4"/>
          <w:sz w:val="32"/>
          <w:szCs w:val="32"/>
        </w:rPr>
        <w:t>（二）项目管理情况分析</w:t>
      </w:r>
    </w:p>
    <w:p>
      <w:pPr>
        <w:spacing w:line="540" w:lineRule="exact"/>
        <w:ind w:firstLine="624" w:firstLineChars="200"/>
        <w:rPr>
          <w:rStyle w:val="17"/>
          <w:rFonts w:ascii="仿宋" w:hAnsi="仿宋" w:eastAsia="仿宋"/>
          <w:b w:val="0"/>
          <w:bCs w:val="0"/>
          <w:spacing w:val="-4"/>
          <w:sz w:val="32"/>
          <w:szCs w:val="32"/>
        </w:rPr>
      </w:pPr>
      <w:r>
        <w:rPr>
          <w:rStyle w:val="17"/>
          <w:rFonts w:hint="eastAsia" w:ascii="仿宋" w:hAnsi="仿宋" w:eastAsia="仿宋" w:cs="仿宋"/>
          <w:b w:val="0"/>
          <w:bCs w:val="0"/>
          <w:spacing w:val="-4"/>
          <w:sz w:val="32"/>
          <w:szCs w:val="32"/>
        </w:rPr>
        <w:t>加强日常进度管理，每周进行检查。未发现或收到各类监督检查部门监督报告或处理决定。</w:t>
      </w:r>
    </w:p>
    <w:p>
      <w:pPr>
        <w:spacing w:line="540" w:lineRule="exact"/>
        <w:ind w:firstLine="640"/>
        <w:rPr>
          <w:rStyle w:val="17"/>
          <w:rFonts w:ascii="黑体" w:hAnsi="黑体" w:eastAsia="黑体"/>
        </w:rPr>
      </w:pPr>
      <w:r>
        <w:rPr>
          <w:rStyle w:val="17"/>
          <w:rFonts w:hint="eastAsia" w:ascii="黑体" w:hAnsi="黑体" w:eastAsia="黑体" w:cs="黑体"/>
          <w:b w:val="0"/>
          <w:bCs w:val="0"/>
          <w:spacing w:val="-4"/>
          <w:sz w:val="32"/>
          <w:szCs w:val="32"/>
        </w:rPr>
        <w:t>四、项目绩效情况</w:t>
      </w:r>
    </w:p>
    <w:p>
      <w:pPr>
        <w:spacing w:line="540" w:lineRule="exact"/>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（一）项目绩效目标完成情况分析</w:t>
      </w:r>
    </w:p>
    <w:p>
      <w:pPr>
        <w:spacing w:line="540" w:lineRule="exact"/>
        <w:ind w:firstLine="564" w:firstLineChars="181"/>
        <w:rPr>
          <w:rStyle w:val="17"/>
          <w:rFonts w:ascii="仿宋" w:hAnsi="仿宋" w:eastAsia="仿宋"/>
          <w:b w:val="0"/>
          <w:bCs w:val="0"/>
          <w:spacing w:val="-4"/>
          <w:sz w:val="32"/>
          <w:szCs w:val="32"/>
        </w:rPr>
      </w:pPr>
      <w:r>
        <w:rPr>
          <w:rStyle w:val="17"/>
          <w:rFonts w:hint="eastAsia" w:ascii="仿宋" w:hAnsi="仿宋" w:eastAsia="仿宋" w:cs="仿宋"/>
          <w:b w:val="0"/>
          <w:bCs w:val="0"/>
          <w:spacing w:val="-4"/>
          <w:sz w:val="32"/>
          <w:szCs w:val="32"/>
        </w:rPr>
        <w:t>（将项目支出后的实际状况与申报的绩效目标对比，从项目的经济性、效率性、有益性和可持续性等方面进行量化、具体分析。）</w:t>
      </w:r>
    </w:p>
    <w:p>
      <w:pPr>
        <w:spacing w:line="540" w:lineRule="exact"/>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cs="仿宋"/>
          <w:spacing w:val="-4"/>
          <w:sz w:val="32"/>
          <w:szCs w:val="32"/>
        </w:rPr>
        <w:t>通过项目实施，改善我县市政污水收集情况</w:t>
      </w:r>
    </w:p>
    <w:p>
      <w:pPr>
        <w:spacing w:line="54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五、其他需要说明的问题</w:t>
      </w:r>
    </w:p>
    <w:p>
      <w:pPr>
        <w:spacing w:line="540" w:lineRule="exact"/>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（一）后续工作计划</w:t>
      </w:r>
    </w:p>
    <w:p>
      <w:pPr>
        <w:spacing w:line="540" w:lineRule="exact"/>
        <w:ind w:firstLine="564" w:firstLineChars="181"/>
        <w:rPr>
          <w:rFonts w:ascii="仿宋" w:hAnsi="仿宋" w:eastAsia="仿宋"/>
          <w:spacing w:val="-4"/>
          <w:sz w:val="32"/>
          <w:szCs w:val="32"/>
        </w:rPr>
      </w:pPr>
      <w:r>
        <w:rPr>
          <w:rFonts w:hint="eastAsia" w:ascii="仿宋" w:hAnsi="仿宋" w:eastAsia="仿宋" w:cs="仿宋"/>
          <w:spacing w:val="-4"/>
          <w:sz w:val="32"/>
          <w:szCs w:val="32"/>
        </w:rPr>
        <w:t>进一步完成污水市政管网</w:t>
      </w:r>
    </w:p>
    <w:p>
      <w:pPr>
        <w:spacing w:line="540" w:lineRule="exact"/>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（二）主要经验及做法、存在问题和建议</w:t>
      </w:r>
    </w:p>
    <w:p>
      <w:pPr>
        <w:spacing w:line="540" w:lineRule="exact"/>
        <w:ind w:firstLine="564" w:firstLineChars="181"/>
        <w:rPr>
          <w:rFonts w:ascii="仿宋_GB2312" w:eastAsia="仿宋_GB2312"/>
          <w:spacing w:val="-4"/>
          <w:sz w:val="32"/>
          <w:szCs w:val="32"/>
        </w:rPr>
      </w:pPr>
      <w:r>
        <w:rPr>
          <w:rFonts w:hint="eastAsia" w:ascii="仿宋_GB2312" w:eastAsia="仿宋_GB2312" w:cs="仿宋_GB2312"/>
          <w:spacing w:val="-4"/>
          <w:sz w:val="32"/>
          <w:szCs w:val="32"/>
        </w:rPr>
        <w:t>资金专项支付，专款专用。</w:t>
      </w:r>
    </w:p>
    <w:p>
      <w:pPr>
        <w:spacing w:line="540" w:lineRule="exact"/>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（三）其他</w:t>
      </w:r>
    </w:p>
    <w:p>
      <w:pPr>
        <w:spacing w:line="540" w:lineRule="exact"/>
        <w:ind w:firstLine="564" w:firstLineChars="181"/>
        <w:rPr>
          <w:rFonts w:ascii="仿宋_GB2312" w:eastAsia="仿宋_GB2312"/>
          <w:spacing w:val="-4"/>
          <w:sz w:val="32"/>
          <w:szCs w:val="32"/>
        </w:rPr>
      </w:pPr>
      <w:r>
        <w:rPr>
          <w:rFonts w:hint="eastAsia" w:ascii="仿宋_GB2312" w:eastAsia="仿宋_GB2312" w:cs="仿宋_GB2312"/>
          <w:spacing w:val="-4"/>
          <w:sz w:val="32"/>
          <w:szCs w:val="32"/>
        </w:rPr>
        <w:t>无</w:t>
      </w:r>
    </w:p>
    <w:p>
      <w:pPr>
        <w:spacing w:line="54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cs="仿宋_GB2312"/>
          <w:spacing w:val="-4"/>
          <w:sz w:val="32"/>
          <w:szCs w:val="32"/>
        </w:rPr>
        <w:t>环评批复已下达</w:t>
      </w:r>
    </w:p>
    <w:p>
      <w:pPr>
        <w:spacing w:line="540" w:lineRule="exact"/>
        <w:ind w:firstLine="567"/>
        <w:rPr>
          <w:rStyle w:val="17"/>
          <w:rFonts w:ascii="仿宋" w:hAnsi="仿宋" w:eastAsia="仿宋"/>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cs="Times New Roman"/>
      </w:rPr>
    </w:pPr>
    <w:r>
      <w:fldChar w:fldCharType="begin"/>
    </w:r>
    <w:r>
      <w:instrText xml:space="preserve">PAGE   \* MERGEFORMAT</w:instrText>
    </w:r>
    <w:r>
      <w:fldChar w:fldCharType="separate"/>
    </w:r>
    <w:r>
      <w:rPr>
        <w:lang w:val="zh-CN"/>
      </w:rPr>
      <w:t>5</w:t>
    </w:r>
    <w:r>
      <w:rPr>
        <w:lang w:val="zh-CN"/>
      </w:rPr>
      <w:fldChar w:fldCharType="end"/>
    </w:r>
  </w:p>
  <w:p>
    <w:pPr>
      <w:pStyle w:val="12"/>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0E124A"/>
    <w:rsid w:val="00121AE4"/>
    <w:rsid w:val="00146AAD"/>
    <w:rsid w:val="00177B9B"/>
    <w:rsid w:val="001B3A40"/>
    <w:rsid w:val="00200EAA"/>
    <w:rsid w:val="002046F9"/>
    <w:rsid w:val="002574E5"/>
    <w:rsid w:val="002B3820"/>
    <w:rsid w:val="003908B7"/>
    <w:rsid w:val="00394937"/>
    <w:rsid w:val="004366A8"/>
    <w:rsid w:val="00502BA7"/>
    <w:rsid w:val="005162F1"/>
    <w:rsid w:val="00535153"/>
    <w:rsid w:val="005518B6"/>
    <w:rsid w:val="00554F82"/>
    <w:rsid w:val="0056390D"/>
    <w:rsid w:val="005719B0"/>
    <w:rsid w:val="005A135E"/>
    <w:rsid w:val="005D10D6"/>
    <w:rsid w:val="006C3DD2"/>
    <w:rsid w:val="006E3405"/>
    <w:rsid w:val="006E6BB4"/>
    <w:rsid w:val="007440C9"/>
    <w:rsid w:val="00855E3A"/>
    <w:rsid w:val="008A49AB"/>
    <w:rsid w:val="00922CB9"/>
    <w:rsid w:val="009E5CD9"/>
    <w:rsid w:val="00A26421"/>
    <w:rsid w:val="00A4293B"/>
    <w:rsid w:val="00A476BC"/>
    <w:rsid w:val="00A67D50"/>
    <w:rsid w:val="00A8691A"/>
    <w:rsid w:val="00AC1946"/>
    <w:rsid w:val="00B40063"/>
    <w:rsid w:val="00B41F61"/>
    <w:rsid w:val="00BA46E6"/>
    <w:rsid w:val="00BB1833"/>
    <w:rsid w:val="00BE5F22"/>
    <w:rsid w:val="00C56C72"/>
    <w:rsid w:val="00CA6457"/>
    <w:rsid w:val="00D17F2E"/>
    <w:rsid w:val="00D30354"/>
    <w:rsid w:val="00D549E3"/>
    <w:rsid w:val="00DF42A0"/>
    <w:rsid w:val="00E769FE"/>
    <w:rsid w:val="00EA2CBE"/>
    <w:rsid w:val="00F32FEE"/>
    <w:rsid w:val="00FB10BB"/>
    <w:rsid w:val="00FB2D51"/>
    <w:rsid w:val="2C4E265C"/>
    <w:rsid w:val="3B592FCB"/>
    <w:rsid w:val="57C7615B"/>
  </w:rsids>
  <m:mathPr>
    <m:lMargin m:val="0"/>
    <m:mathFont m:val="Cambria Math"/>
    <m:rMargin m:val="0"/>
    <m:wrapIndent m:val="1440"/>
    <m:brkBin m:val="before"/>
    <m:brkBinSub m:val="--"/>
    <m:defJc m:val="centerGroup"/>
    <m:intLim m:val="subSup"/>
    <m:naryLim m:val="undOvr"/>
    <m:smallFrac m:val="0"/>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cs="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cs="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cs="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cs="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cs="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cs="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cs="Calibri"/>
      <w:kern w:val="0"/>
      <w:sz w:val="24"/>
      <w:szCs w:val="24"/>
    </w:rPr>
  </w:style>
  <w:style w:type="paragraph" w:styleId="9">
    <w:name w:val="heading 8"/>
    <w:basedOn w:val="1"/>
    <w:next w:val="1"/>
    <w:link w:val="27"/>
    <w:qFormat/>
    <w:uiPriority w:val="99"/>
    <w:pPr>
      <w:widowControl/>
      <w:spacing w:before="240" w:after="60"/>
      <w:jc w:val="left"/>
      <w:outlineLvl w:val="7"/>
    </w:pPr>
    <w:rPr>
      <w:rFonts w:ascii="Calibri" w:hAnsi="Calibri" w:cs="Calibri"/>
      <w:i/>
      <w:iCs/>
      <w:kern w:val="0"/>
      <w:sz w:val="24"/>
      <w:szCs w:val="24"/>
    </w:rPr>
  </w:style>
  <w:style w:type="paragraph" w:styleId="10">
    <w:name w:val="heading 9"/>
    <w:basedOn w:val="1"/>
    <w:next w:val="1"/>
    <w:link w:val="28"/>
    <w:qFormat/>
    <w:uiPriority w:val="99"/>
    <w:pPr>
      <w:widowControl/>
      <w:spacing w:before="240" w:after="60"/>
      <w:jc w:val="left"/>
      <w:outlineLvl w:val="8"/>
    </w:pPr>
    <w:rPr>
      <w:rFonts w:ascii="Cambria" w:hAnsi="Cambria" w:cs="Cambria"/>
      <w:kern w:val="0"/>
      <w:sz w:val="22"/>
      <w:szCs w:val="22"/>
    </w:rPr>
  </w:style>
  <w:style w:type="character" w:default="1" w:styleId="16">
    <w:name w:val="Default Paragraph Font"/>
    <w:semiHidden/>
    <w:uiPriority w:val="99"/>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qFormat/>
    <w:uiPriority w:val="99"/>
    <w:rPr>
      <w:sz w:val="18"/>
      <w:szCs w:val="18"/>
    </w:rPr>
  </w:style>
  <w:style w:type="paragraph" w:styleId="12">
    <w:name w:val="footer"/>
    <w:basedOn w:val="1"/>
    <w:link w:val="44"/>
    <w:qFormat/>
    <w:uiPriority w:val="99"/>
    <w:pPr>
      <w:tabs>
        <w:tab w:val="center" w:pos="4153"/>
        <w:tab w:val="right" w:pos="8306"/>
      </w:tabs>
      <w:snapToGrid w:val="0"/>
      <w:jc w:val="left"/>
    </w:pPr>
    <w:rPr>
      <w:rFonts w:ascii="Calibri" w:hAnsi="Calibri" w:cs="Calibri"/>
      <w:sz w:val="18"/>
      <w:szCs w:val="18"/>
    </w:rPr>
  </w:style>
  <w:style w:type="paragraph" w:styleId="13">
    <w:name w:val="header"/>
    <w:basedOn w:val="1"/>
    <w:link w:val="43"/>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cs="Cambria"/>
      <w:kern w:val="0"/>
      <w:sz w:val="24"/>
      <w:szCs w:val="24"/>
    </w:rPr>
  </w:style>
  <w:style w:type="paragraph" w:styleId="15">
    <w:name w:val="Title"/>
    <w:basedOn w:val="1"/>
    <w:next w:val="1"/>
    <w:link w:val="29"/>
    <w:qFormat/>
    <w:uiPriority w:val="99"/>
    <w:pPr>
      <w:widowControl/>
      <w:spacing w:before="240" w:after="60"/>
      <w:jc w:val="center"/>
      <w:outlineLvl w:val="0"/>
    </w:pPr>
    <w:rPr>
      <w:rFonts w:ascii="Cambria" w:hAnsi="Cambria" w:cs="Cambria"/>
      <w:b/>
      <w:bCs/>
      <w:kern w:val="28"/>
      <w:sz w:val="32"/>
      <w:szCs w:val="32"/>
    </w:rPr>
  </w:style>
  <w:style w:type="character" w:styleId="17">
    <w:name w:val="Strong"/>
    <w:basedOn w:val="16"/>
    <w:qFormat/>
    <w:uiPriority w:val="99"/>
    <w:rPr>
      <w:b/>
      <w:bCs/>
    </w:rPr>
  </w:style>
  <w:style w:type="character" w:styleId="18">
    <w:name w:val="Emphasis"/>
    <w:basedOn w:val="16"/>
    <w:qFormat/>
    <w:uiPriority w:val="99"/>
    <w:rPr>
      <w:rFonts w:ascii="Calibri" w:hAnsi="Calibri" w:cs="Calibri"/>
      <w:b/>
      <w:bCs/>
      <w:i/>
      <w:iCs/>
    </w:rPr>
  </w:style>
  <w:style w:type="character" w:customStyle="1" w:styleId="20">
    <w:name w:val="Heading 1 Char"/>
    <w:basedOn w:val="16"/>
    <w:link w:val="2"/>
    <w:qFormat/>
    <w:locked/>
    <w:uiPriority w:val="99"/>
    <w:rPr>
      <w:rFonts w:ascii="Cambria" w:hAnsi="Cambria" w:eastAsia="宋体" w:cs="Cambria"/>
      <w:b/>
      <w:bCs/>
      <w:kern w:val="32"/>
      <w:sz w:val="32"/>
      <w:szCs w:val="32"/>
    </w:rPr>
  </w:style>
  <w:style w:type="character" w:customStyle="1" w:styleId="21">
    <w:name w:val="Heading 2 Char"/>
    <w:basedOn w:val="16"/>
    <w:link w:val="3"/>
    <w:semiHidden/>
    <w:qFormat/>
    <w:locked/>
    <w:uiPriority w:val="99"/>
    <w:rPr>
      <w:rFonts w:ascii="Cambria" w:hAnsi="Cambria" w:eastAsia="宋体" w:cs="Cambria"/>
      <w:b/>
      <w:bCs/>
      <w:i/>
      <w:iCs/>
      <w:sz w:val="28"/>
      <w:szCs w:val="28"/>
    </w:rPr>
  </w:style>
  <w:style w:type="character" w:customStyle="1" w:styleId="22">
    <w:name w:val="Heading 3 Char"/>
    <w:basedOn w:val="16"/>
    <w:link w:val="4"/>
    <w:semiHidden/>
    <w:qFormat/>
    <w:locked/>
    <w:uiPriority w:val="99"/>
    <w:rPr>
      <w:rFonts w:ascii="Cambria" w:hAnsi="Cambria" w:eastAsia="宋体" w:cs="Cambria"/>
      <w:b/>
      <w:bCs/>
      <w:sz w:val="26"/>
      <w:szCs w:val="26"/>
    </w:rPr>
  </w:style>
  <w:style w:type="character" w:customStyle="1" w:styleId="23">
    <w:name w:val="Heading 4 Char"/>
    <w:basedOn w:val="16"/>
    <w:link w:val="5"/>
    <w:semiHidden/>
    <w:qFormat/>
    <w:locked/>
    <w:uiPriority w:val="99"/>
    <w:rPr>
      <w:b/>
      <w:bCs/>
      <w:sz w:val="28"/>
      <w:szCs w:val="28"/>
    </w:rPr>
  </w:style>
  <w:style w:type="character" w:customStyle="1" w:styleId="24">
    <w:name w:val="Heading 5 Char"/>
    <w:basedOn w:val="16"/>
    <w:link w:val="6"/>
    <w:semiHidden/>
    <w:qFormat/>
    <w:locked/>
    <w:uiPriority w:val="99"/>
    <w:rPr>
      <w:b/>
      <w:bCs/>
      <w:i/>
      <w:iCs/>
      <w:sz w:val="26"/>
      <w:szCs w:val="26"/>
    </w:rPr>
  </w:style>
  <w:style w:type="character" w:customStyle="1" w:styleId="25">
    <w:name w:val="Heading 6 Char"/>
    <w:basedOn w:val="16"/>
    <w:link w:val="7"/>
    <w:semiHidden/>
    <w:qFormat/>
    <w:locked/>
    <w:uiPriority w:val="99"/>
    <w:rPr>
      <w:b/>
      <w:bCs/>
    </w:rPr>
  </w:style>
  <w:style w:type="character" w:customStyle="1" w:styleId="26">
    <w:name w:val="Heading 7 Char"/>
    <w:basedOn w:val="16"/>
    <w:link w:val="8"/>
    <w:semiHidden/>
    <w:qFormat/>
    <w:locked/>
    <w:uiPriority w:val="99"/>
    <w:rPr>
      <w:sz w:val="24"/>
      <w:szCs w:val="24"/>
    </w:rPr>
  </w:style>
  <w:style w:type="character" w:customStyle="1" w:styleId="27">
    <w:name w:val="Heading 8 Char"/>
    <w:basedOn w:val="16"/>
    <w:link w:val="9"/>
    <w:semiHidden/>
    <w:qFormat/>
    <w:locked/>
    <w:uiPriority w:val="99"/>
    <w:rPr>
      <w:i/>
      <w:iCs/>
      <w:sz w:val="24"/>
      <w:szCs w:val="24"/>
    </w:rPr>
  </w:style>
  <w:style w:type="character" w:customStyle="1" w:styleId="28">
    <w:name w:val="Heading 9 Char"/>
    <w:basedOn w:val="16"/>
    <w:link w:val="10"/>
    <w:semiHidden/>
    <w:qFormat/>
    <w:locked/>
    <w:uiPriority w:val="99"/>
    <w:rPr>
      <w:rFonts w:ascii="Cambria" w:hAnsi="Cambria" w:eastAsia="宋体" w:cs="Cambria"/>
    </w:rPr>
  </w:style>
  <w:style w:type="character" w:customStyle="1" w:styleId="29">
    <w:name w:val="Title Char"/>
    <w:basedOn w:val="16"/>
    <w:link w:val="15"/>
    <w:qFormat/>
    <w:locked/>
    <w:uiPriority w:val="99"/>
    <w:rPr>
      <w:rFonts w:ascii="Cambria" w:hAnsi="Cambria" w:eastAsia="宋体" w:cs="Cambria"/>
      <w:b/>
      <w:bCs/>
      <w:kern w:val="28"/>
      <w:sz w:val="32"/>
      <w:szCs w:val="32"/>
    </w:rPr>
  </w:style>
  <w:style w:type="character" w:customStyle="1" w:styleId="30">
    <w:name w:val="Subtitle Char"/>
    <w:basedOn w:val="16"/>
    <w:link w:val="14"/>
    <w:qFormat/>
    <w:locked/>
    <w:uiPriority w:val="99"/>
    <w:rPr>
      <w:rFonts w:ascii="Cambria" w:hAnsi="Cambria" w:eastAsia="宋体" w:cs="Cambria"/>
      <w:sz w:val="24"/>
      <w:szCs w:val="24"/>
    </w:rPr>
  </w:style>
  <w:style w:type="paragraph" w:customStyle="1" w:styleId="31">
    <w:name w:val="No Spacing"/>
    <w:basedOn w:val="1"/>
    <w:qFormat/>
    <w:uiPriority w:val="99"/>
    <w:pPr>
      <w:widowControl/>
      <w:jc w:val="left"/>
    </w:pPr>
    <w:rPr>
      <w:rFonts w:ascii="Calibri" w:hAnsi="Calibri" w:cs="Calibri"/>
      <w:kern w:val="0"/>
      <w:sz w:val="24"/>
      <w:szCs w:val="24"/>
      <w:lang w:eastAsia="en-US"/>
    </w:rPr>
  </w:style>
  <w:style w:type="paragraph" w:customStyle="1" w:styleId="32">
    <w:name w:val="List Paragraph"/>
    <w:basedOn w:val="1"/>
    <w:qFormat/>
    <w:uiPriority w:val="99"/>
    <w:pPr>
      <w:widowControl/>
      <w:ind w:left="720"/>
      <w:jc w:val="left"/>
    </w:pPr>
    <w:rPr>
      <w:rFonts w:ascii="Calibri" w:hAnsi="Calibri" w:cs="Calibri"/>
      <w:kern w:val="0"/>
      <w:sz w:val="24"/>
      <w:szCs w:val="24"/>
      <w:lang w:eastAsia="en-US"/>
    </w:rPr>
  </w:style>
  <w:style w:type="paragraph" w:customStyle="1" w:styleId="33">
    <w:name w:val="Quote"/>
    <w:basedOn w:val="1"/>
    <w:next w:val="1"/>
    <w:link w:val="34"/>
    <w:qFormat/>
    <w:uiPriority w:val="99"/>
    <w:pPr>
      <w:widowControl/>
      <w:jc w:val="left"/>
    </w:pPr>
    <w:rPr>
      <w:rFonts w:ascii="Calibri" w:hAnsi="Calibri" w:cs="Calibri"/>
      <w:i/>
      <w:iCs/>
      <w:kern w:val="0"/>
      <w:sz w:val="24"/>
      <w:szCs w:val="24"/>
    </w:rPr>
  </w:style>
  <w:style w:type="character" w:customStyle="1" w:styleId="34">
    <w:name w:val="Quote Char"/>
    <w:basedOn w:val="16"/>
    <w:link w:val="33"/>
    <w:qFormat/>
    <w:locked/>
    <w:uiPriority w:val="99"/>
    <w:rPr>
      <w:i/>
      <w:iCs/>
      <w:sz w:val="24"/>
      <w:szCs w:val="24"/>
    </w:rPr>
  </w:style>
  <w:style w:type="paragraph" w:customStyle="1" w:styleId="35">
    <w:name w:val="Intense Quote"/>
    <w:basedOn w:val="1"/>
    <w:next w:val="1"/>
    <w:link w:val="36"/>
    <w:qFormat/>
    <w:uiPriority w:val="99"/>
    <w:pPr>
      <w:widowControl/>
      <w:ind w:left="720" w:right="720"/>
      <w:jc w:val="left"/>
    </w:pPr>
    <w:rPr>
      <w:rFonts w:ascii="Calibri" w:hAnsi="Calibri" w:cs="Calibri"/>
      <w:b/>
      <w:bCs/>
      <w:i/>
      <w:iCs/>
      <w:kern w:val="0"/>
      <w:sz w:val="24"/>
      <w:szCs w:val="24"/>
    </w:rPr>
  </w:style>
  <w:style w:type="character" w:customStyle="1" w:styleId="36">
    <w:name w:val="Intense Quote Char"/>
    <w:basedOn w:val="16"/>
    <w:link w:val="35"/>
    <w:qFormat/>
    <w:locked/>
    <w:uiPriority w:val="99"/>
    <w:rPr>
      <w:b/>
      <w:bCs/>
      <w:i/>
      <w:iCs/>
      <w:sz w:val="24"/>
      <w:szCs w:val="24"/>
    </w:rPr>
  </w:style>
  <w:style w:type="character" w:customStyle="1" w:styleId="37">
    <w:name w:val="Subtle Emphasis"/>
    <w:basedOn w:val="16"/>
    <w:qFormat/>
    <w:uiPriority w:val="99"/>
    <w:rPr>
      <w:i/>
      <w:iCs/>
      <w:color w:val="auto"/>
    </w:rPr>
  </w:style>
  <w:style w:type="character" w:customStyle="1" w:styleId="38">
    <w:name w:val="Intense Emphasis"/>
    <w:basedOn w:val="16"/>
    <w:qFormat/>
    <w:uiPriority w:val="99"/>
    <w:rPr>
      <w:b/>
      <w:bCs/>
      <w:i/>
      <w:iCs/>
      <w:sz w:val="24"/>
      <w:szCs w:val="24"/>
      <w:u w:val="single"/>
    </w:rPr>
  </w:style>
  <w:style w:type="character" w:customStyle="1" w:styleId="39">
    <w:name w:val="Subtle Reference"/>
    <w:basedOn w:val="16"/>
    <w:qFormat/>
    <w:uiPriority w:val="99"/>
    <w:rPr>
      <w:sz w:val="24"/>
      <w:szCs w:val="24"/>
      <w:u w:val="single"/>
    </w:rPr>
  </w:style>
  <w:style w:type="character" w:customStyle="1" w:styleId="40">
    <w:name w:val="Intense Reference"/>
    <w:basedOn w:val="16"/>
    <w:qFormat/>
    <w:uiPriority w:val="99"/>
    <w:rPr>
      <w:b/>
      <w:bCs/>
      <w:sz w:val="24"/>
      <w:szCs w:val="24"/>
      <w:u w:val="single"/>
    </w:rPr>
  </w:style>
  <w:style w:type="character" w:customStyle="1" w:styleId="41">
    <w:name w:val="Book Title"/>
    <w:basedOn w:val="16"/>
    <w:qFormat/>
    <w:uiPriority w:val="99"/>
    <w:rPr>
      <w:rFonts w:ascii="Cambria" w:hAnsi="Cambria" w:eastAsia="宋体" w:cs="Cambria"/>
      <w:b/>
      <w:bCs/>
      <w:i/>
      <w:iCs/>
      <w:sz w:val="24"/>
      <w:szCs w:val="24"/>
    </w:rPr>
  </w:style>
  <w:style w:type="paragraph" w:customStyle="1" w:styleId="42">
    <w:name w:val="TOC Heading"/>
    <w:basedOn w:val="2"/>
    <w:next w:val="1"/>
    <w:qFormat/>
    <w:uiPriority w:val="99"/>
    <w:pPr>
      <w:outlineLvl w:val="9"/>
    </w:pPr>
    <w:rPr>
      <w:lang w:eastAsia="en-US"/>
    </w:rPr>
  </w:style>
  <w:style w:type="character" w:customStyle="1" w:styleId="43">
    <w:name w:val="Header Char"/>
    <w:basedOn w:val="16"/>
    <w:link w:val="13"/>
    <w:qFormat/>
    <w:locked/>
    <w:uiPriority w:val="99"/>
    <w:rPr>
      <w:rFonts w:ascii="Calibri" w:hAnsi="Calibri" w:eastAsia="宋体" w:cs="Calibri"/>
      <w:kern w:val="2"/>
      <w:sz w:val="18"/>
      <w:szCs w:val="18"/>
    </w:rPr>
  </w:style>
  <w:style w:type="character" w:customStyle="1" w:styleId="44">
    <w:name w:val="Footer Char"/>
    <w:basedOn w:val="16"/>
    <w:link w:val="12"/>
    <w:qFormat/>
    <w:locked/>
    <w:uiPriority w:val="99"/>
    <w:rPr>
      <w:rFonts w:ascii="Calibri" w:hAnsi="Calibri" w:eastAsia="宋体" w:cs="Calibri"/>
      <w:kern w:val="2"/>
      <w:sz w:val="18"/>
      <w:szCs w:val="18"/>
    </w:rPr>
  </w:style>
  <w:style w:type="character" w:customStyle="1" w:styleId="45">
    <w:name w:val="Balloon Text Char"/>
    <w:basedOn w:val="16"/>
    <w:link w:val="11"/>
    <w:semiHidden/>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Lxtx999.CoM</Company>
  <Pages>7</Pages>
  <Words>394</Words>
  <Characters>2249</Characters>
  <Lines>0</Lines>
  <Paragraphs>0</Paragraphs>
  <TotalTime>0</TotalTime>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2019-01-13T12:43:00Z</dcterms:created>
  <dc:creator>赵 恺（预算处）</dc:creator>
  <cp:lastModifiedBy>Administrator</cp:lastModifiedBy>
  <cp:lastPrinted>2018-12-31T10:56:00Z</cp:lastPrinted>
  <dcterms:modified xsi:type="dcterms:W3CDTF">2019-02-04T04:27:36Z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